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top w:w="15" w:type="dxa"/>
          <w:left w:w="15" w:type="dxa"/>
          <w:bottom w:w="15" w:type="dxa"/>
          <w:right w:w="15" w:type="dxa"/>
        </w:tblCellMar>
        <w:tblLook w:val="0600"/>
      </w:tblPr>
      <w:tblGrid>
        <w:gridCol w:w="1440"/>
        <w:gridCol w:w="1440"/>
      </w:tblGrid>
      <w:tr>
        <w:trPr>
          <w:trHeight w:val="0"/>
        </w:trPr>
        <w:tc>
          <w:tcPr>
            <w:tcW w:w="0" w:type="auto"/>
            <w:tcMar>
              <w:top w:w="75" w:type="dxa"/>
              <w:left w:w="75" w:type="dxa"/>
              <w:bottom w:w="75" w:type="dxa"/>
              <w:right w:w="75" w:type="dxa"/>
            </w:tcMar>
            <w:vAlign w:val="top"/>
          </w:tcPr>
          <w:p>
            <w:pPr>
              <w:spacing w:line="240" w:lineRule="auto"/>
              <w:jc w:val="center"/>
              <w:rPr>
                <w:rFonts w:hAnsi="Times New Roman" w:cs="Times New Roman"/>
                <w:color w:val="000000"/>
                <w:sz w:val="24"/>
                <w:szCs w:val="24"/>
              </w:rPr>
            </w:pPr>
            <w:r>
              <w:rPr>
                <w:rFonts w:hAnsi="Times New Roman" w:cs="Times New Roman"/>
                <w:color w:val="000000"/>
                <w:sz w:val="24"/>
                <w:szCs w:val="24"/>
              </w:rPr>
              <w:t/>
            </w:r>
          </w:p>
          <w:p>
            <w:pPr>
              <w:spacing w:line="240" w:lineRule="auto"/>
              <w:jc w:val="center"/>
              <w:rPr>
                <w:rFonts w:hAnsi="Times New Roman" w:cs="Times New Roman"/>
                <w:color w:val="000000"/>
                <w:sz w:val="24"/>
                <w:szCs w:val="24"/>
              </w:rPr>
            </w:pPr>
            <w:r>
              <w:rPr>
                <w:rFonts w:hAnsi="Times New Roman" w:cs="Times New Roman"/>
                <w:color w:val="000000"/>
                <w:sz w:val="24"/>
                <w:szCs w:val="24"/>
              </w:rPr>
              <w:t>Согласовано</w:t>
            </w:r>
          </w:p>
          <w:p>
            <w:pPr>
              <w:spacing w:line="240" w:lineRule="auto"/>
              <w:jc w:val="center"/>
              <w:rPr>
                <w:rFonts w:hAnsi="Times New Roman" w:cs="Times New Roman"/>
                <w:color w:val="000000"/>
                <w:sz w:val="24"/>
                <w:szCs w:val="24"/>
              </w:rPr>
            </w:pPr>
            <w:r>
              <w:rPr>
                <w:rFonts w:hAnsi="Times New Roman" w:cs="Times New Roman"/>
                <w:color w:val="000000"/>
                <w:sz w:val="24"/>
                <w:szCs w:val="24"/>
              </w:rPr>
              <w:t>Собранием профсоюзной организации,</w:t>
            </w:r>
            <w:r>
              <w:br/>
            </w:r>
            <w:r>
              <w:rPr>
                <w:rFonts w:hAnsi="Times New Roman" w:cs="Times New Roman"/>
                <w:color w:val="000000"/>
                <w:sz w:val="24"/>
                <w:szCs w:val="24"/>
              </w:rPr>
              <w:t xml:space="preserve">протокол № </w:t>
            </w:r>
            <w:r>
              <w:rPr>
                <w:rFonts w:hAnsi="Times New Roman" w:cs="Times New Roman"/>
                <w:color w:val="000000"/>
                <w:sz w:val="24"/>
                <w:szCs w:val="24"/>
              </w:rPr>
              <w:t>_</w:t>
            </w:r>
            <w:r>
              <w:br/>
            </w:r>
            <w:r>
              <w:rPr>
                <w:rFonts w:hAnsi="Times New Roman" w:cs="Times New Roman"/>
                <w:color w:val="000000"/>
                <w:sz w:val="24"/>
                <w:szCs w:val="24"/>
              </w:rPr>
              <w:t>от «</w:t>
            </w:r>
            <w:r>
              <w:rPr>
                <w:rFonts w:hAnsi="Times New Roman" w:cs="Times New Roman"/>
                <w:color w:val="000000"/>
                <w:sz w:val="24"/>
                <w:szCs w:val="24"/>
              </w:rPr>
              <w:t>__</w:t>
            </w:r>
            <w:r>
              <w:rPr>
                <w:rFonts w:hAnsi="Times New Roman" w:cs="Times New Roman"/>
                <w:color w:val="000000"/>
                <w:sz w:val="24"/>
                <w:szCs w:val="24"/>
              </w:rPr>
              <w:t>» марта 20</w:t>
            </w:r>
            <w:r>
              <w:rPr>
                <w:rFonts w:hAnsi="Times New Roman" w:cs="Times New Roman"/>
                <w:color w:val="000000"/>
                <w:sz w:val="24"/>
                <w:szCs w:val="24"/>
              </w:rPr>
              <w:t>__</w:t>
            </w:r>
            <w:r>
              <w:rPr>
                <w:rFonts w:hAnsi="Times New Roman" w:cs="Times New Roman"/>
                <w:color w:val="000000"/>
                <w:sz w:val="24"/>
                <w:szCs w:val="24"/>
              </w:rPr>
              <w:t> г.</w:t>
            </w:r>
          </w:p>
        </w:tc>
        <w:tc>
          <w:tcPr>
            <w:tcW w:w="0" w:type="auto"/>
            <w:tcMar>
              <w:top w:w="75" w:type="dxa"/>
              <w:left w:w="75" w:type="dxa"/>
              <w:bottom w:w="75" w:type="dxa"/>
              <w:right w:w="75" w:type="dxa"/>
            </w:tcMar>
            <w:vAlign w:val="top"/>
          </w:tcPr>
          <w:p>
            <w:pPr>
              <w:spacing w:line="240" w:lineRule="auto"/>
              <w:jc w:val="center"/>
              <w:rPr>
                <w:rFonts w:hAnsi="Times New Roman" w:cs="Times New Roman"/>
                <w:color w:val="000000"/>
                <w:sz w:val="24"/>
                <w:szCs w:val="24"/>
              </w:rPr>
            </w:pPr>
            <w:r>
              <w:rPr>
                <w:rFonts w:hAnsi="Times New Roman" w:cs="Times New Roman"/>
                <w:color w:val="000000"/>
                <w:sz w:val="24"/>
                <w:szCs w:val="24"/>
              </w:rPr>
              <w:t/>
            </w:r>
          </w:p>
          <w:p>
            <w:pPr>
              <w:spacing w:line="240" w:lineRule="auto"/>
              <w:jc w:val="center"/>
              <w:rPr>
                <w:rFonts w:hAnsi="Times New Roman" w:cs="Times New Roman"/>
                <w:color w:val="000000"/>
                <w:sz w:val="24"/>
                <w:szCs w:val="24"/>
              </w:rPr>
            </w:pPr>
            <w:r>
              <w:rPr>
                <w:rFonts w:hAnsi="Times New Roman" w:cs="Times New Roman"/>
                <w:color w:val="000000"/>
                <w:sz w:val="24"/>
                <w:szCs w:val="24"/>
              </w:rPr>
              <w:t>Утверждаю</w:t>
            </w:r>
          </w:p>
          <w:p>
            <w:pPr>
              <w:spacing w:line="240" w:lineRule="auto"/>
              <w:jc w:val="center"/>
              <w:rPr>
                <w:rFonts w:hAnsi="Times New Roman" w:cs="Times New Roman"/>
                <w:color w:val="000000"/>
                <w:sz w:val="24"/>
                <w:szCs w:val="24"/>
              </w:rPr>
            </w:pPr>
            <w:r>
              <w:rPr>
                <w:rFonts w:hAnsi="Times New Roman" w:cs="Times New Roman"/>
                <w:color w:val="000000"/>
                <w:sz w:val="24"/>
                <w:szCs w:val="24"/>
              </w:rPr>
              <w:t>Директор</w:t>
            </w:r>
          </w:p>
          <w:p>
            <w:pPr>
              <w:spacing w:line="240" w:lineRule="auto"/>
              <w:jc w:val="center"/>
              <w:rPr>
                <w:rFonts w:hAnsi="Times New Roman" w:cs="Times New Roman"/>
                <w:color w:val="000000"/>
                <w:sz w:val="24"/>
                <w:szCs w:val="24"/>
              </w:rPr>
            </w:pPr>
            <w:r>
              <w:rPr>
                <w:rFonts w:hAnsi="Times New Roman" w:cs="Times New Roman"/>
                <w:color w:val="000000"/>
                <w:sz w:val="24"/>
                <w:szCs w:val="24"/>
              </w:rPr>
              <w:t>____________</w:t>
            </w:r>
            <w:r>
              <w:rPr>
                <w:rFonts w:hAnsi="Times New Roman" w:cs="Times New Roman"/>
                <w:color w:val="000000"/>
                <w:sz w:val="24"/>
                <w:szCs w:val="24"/>
              </w:rPr>
              <w:t>/_________</w:t>
            </w:r>
          </w:p>
          <w:p>
            <w:pPr>
              <w:spacing w:line="240" w:lineRule="auto"/>
              <w:jc w:val="center"/>
              <w:rPr>
                <w:rFonts w:hAnsi="Times New Roman" w:cs="Times New Roman"/>
                <w:color w:val="000000"/>
                <w:sz w:val="24"/>
                <w:szCs w:val="24"/>
              </w:rPr>
            </w:pPr>
            <w:r>
              <w:rPr>
                <w:rFonts w:hAnsi="Times New Roman" w:cs="Times New Roman"/>
                <w:color w:val="000000"/>
                <w:sz w:val="24"/>
                <w:szCs w:val="24"/>
              </w:rPr>
              <w:t>«</w:t>
            </w:r>
            <w:r>
              <w:rPr>
                <w:rFonts w:hAnsi="Times New Roman" w:cs="Times New Roman"/>
                <w:color w:val="000000"/>
                <w:sz w:val="24"/>
                <w:szCs w:val="24"/>
              </w:rPr>
              <w:t>__</w:t>
            </w:r>
            <w:r>
              <w:rPr>
                <w:rFonts w:hAnsi="Times New Roman" w:cs="Times New Roman"/>
                <w:color w:val="000000"/>
                <w:sz w:val="24"/>
                <w:szCs w:val="24"/>
              </w:rPr>
              <w:t xml:space="preserve">» </w:t>
            </w:r>
            <w:r>
              <w:rPr>
                <w:rFonts w:hAnsi="Times New Roman" w:cs="Times New Roman"/>
                <w:color w:val="000000"/>
                <w:sz w:val="24"/>
                <w:szCs w:val="24"/>
              </w:rPr>
              <w:t>_____</w:t>
            </w:r>
            <w:r>
              <w:rPr>
                <w:rFonts w:hAnsi="Times New Roman" w:cs="Times New Roman"/>
                <w:color w:val="000000"/>
                <w:sz w:val="24"/>
                <w:szCs w:val="24"/>
              </w:rPr>
              <w:t xml:space="preserve"> 20</w:t>
            </w:r>
            <w:r>
              <w:rPr>
                <w:rFonts w:hAnsi="Times New Roman" w:cs="Times New Roman"/>
                <w:color w:val="000000"/>
                <w:sz w:val="24"/>
                <w:szCs w:val="24"/>
              </w:rPr>
              <w:t>__</w:t>
            </w:r>
            <w:r>
              <w:rPr>
                <w:rFonts w:hAnsi="Times New Roman" w:cs="Times New Roman"/>
                <w:color w:val="000000"/>
                <w:sz w:val="24"/>
                <w:szCs w:val="24"/>
              </w:rPr>
              <w:t xml:space="preserve"> г.</w:t>
            </w:r>
          </w:p>
          <w:p>
            <w:pPr>
              <w:spacing w:line="240" w:lineRule="auto"/>
              <w:jc w:val="center"/>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Положение о проведении предварительного и периодического медицинских осмотров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b/>
          <w:bCs/>
          <w:color w:val="000000"/>
          <w:sz w:val="24"/>
          <w:szCs w:val="24"/>
        </w:rPr>
        <w:t>1. Общие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1.1. Настоящее Положение определяет порядок проведения медицинских осмотров работников</w:t>
      </w:r>
    </w:p>
    <w:tbl>
      <w:tblPr>
        <w:tblW w:w="0" w:type="auto"/>
        <w:tblCellMar>
          <w:top w:w="15" w:type="dxa"/>
          <w:left w:w="15" w:type="dxa"/>
          <w:bottom w:w="15" w:type="dxa"/>
          <w:right w:w="15" w:type="dxa"/>
        </w:tblCellMar>
        <w:tblLook w:val="0600"/>
      </w:tblPr>
      <w:tblGrid>
        <w:gridCol w:w="1440"/>
      </w:tblGrid>
      <w:tr>
        <w:trPr>
          <w:trHeight w:val="0"/>
        </w:trPr>
        <w:tc>
          <w:tcPr>
            <w:tcW w:w="0" w:type="auto"/>
            <w:tcMar>
              <w:top w:w="75" w:type="dxa"/>
              <w:left w:w="75" w:type="dxa"/>
              <w:bottom w:w="75" w:type="dxa"/>
              <w:right w:w="75" w:type="dxa"/>
            </w:tcMar>
            <w:vAlign w:val="top"/>
          </w:tcPr>
          <w:p>
            <w:r>
              <w:rPr>
                <w:rFonts w:hAnsi="Times New Roman" w:cs="Times New Roman"/>
                <w:color w:val="000000"/>
                <w:sz w:val="24"/>
                <w:szCs w:val="24"/>
              </w:rPr>
              <w:t>___________</w:t>
            </w:r>
          </w:p>
        </w:tc>
      </w:tr>
      <w:tr>
        <w:trPr>
          <w:trHeight w:val="0"/>
        </w:trPr>
        <w:tc>
          <w:tcPr>
            <w:tcW w:w="0" w:type="auto"/>
            <w:tcMar>
              <w:top w:w="75" w:type="dxa"/>
              <w:left w:w="75" w:type="dxa"/>
              <w:bottom w:w="75" w:type="dxa"/>
              <w:right w:w="75" w:type="dxa"/>
            </w:tcMar>
            <w:vAlign w:val="top"/>
          </w:tcPr>
          <w:p>
            <w:pPr>
              <w:spacing w:line="240" w:lineRule="auto"/>
              <w:jc w:val="center"/>
              <w:rPr>
                <w:rFonts w:hAnsi="Times New Roman" w:cs="Times New Roman"/>
                <w:color w:val="000000"/>
                <w:sz w:val="24"/>
                <w:szCs w:val="24"/>
              </w:rPr>
            </w:pPr>
            <w:r>
              <w:rPr>
                <w:rFonts w:hAnsi="Times New Roman" w:cs="Times New Roman"/>
                <w:color w:val="000000"/>
                <w:sz w:val="24"/>
                <w:szCs w:val="24"/>
              </w:rPr>
              <w:t>(наименование организации)</w:t>
            </w:r>
          </w:p>
        </w:tc>
      </w:tr>
    </w:tbl>
    <w:p>
      <w:pPr>
        <w:spacing w:line="240" w:lineRule="auto"/>
        <w:rPr>
          <w:rFonts w:hAnsi="Times New Roman" w:cs="Times New Roman"/>
          <w:color w:val="000000"/>
          <w:sz w:val="24"/>
          <w:szCs w:val="24"/>
        </w:rPr>
      </w:pPr>
      <w:r>
        <w:rPr>
          <w:rFonts w:hAnsi="Times New Roman" w:cs="Times New Roman"/>
          <w:color w:val="000000"/>
          <w:sz w:val="24"/>
          <w:szCs w:val="24"/>
        </w:rPr>
        <w:t xml:space="preserve">Положение разработано в соответствии с требованиями статей </w:t>
      </w:r>
      <w:r>
        <w:rPr>
          <w:rFonts w:hAnsi="Times New Roman" w:cs="Times New Roman"/>
          <w:color w:val="000000"/>
          <w:sz w:val="24"/>
          <w:szCs w:val="24"/>
        </w:rPr>
        <w:t>214</w:t>
      </w:r>
      <w:r>
        <w:rPr>
          <w:rFonts w:hAnsi="Times New Roman" w:cs="Times New Roman"/>
          <w:color w:val="000000"/>
          <w:sz w:val="24"/>
          <w:szCs w:val="24"/>
        </w:rPr>
        <w:t xml:space="preserve">, </w:t>
      </w:r>
      <w:r>
        <w:rPr>
          <w:rFonts w:hAnsi="Times New Roman" w:cs="Times New Roman"/>
          <w:color w:val="000000"/>
          <w:sz w:val="24"/>
          <w:szCs w:val="24"/>
        </w:rPr>
        <w:t>215</w:t>
      </w:r>
      <w:r>
        <w:rPr>
          <w:rFonts w:hAnsi="Times New Roman" w:cs="Times New Roman"/>
          <w:color w:val="000000"/>
          <w:sz w:val="24"/>
          <w:szCs w:val="24"/>
        </w:rPr>
        <w:t xml:space="preserve"> и </w:t>
      </w:r>
      <w:r>
        <w:rPr>
          <w:rFonts w:hAnsi="Times New Roman" w:cs="Times New Roman"/>
          <w:color w:val="000000"/>
          <w:sz w:val="24"/>
          <w:szCs w:val="24"/>
        </w:rPr>
        <w:t>220</w:t>
      </w:r>
      <w:r>
        <w:rPr>
          <w:rFonts w:hAnsi="Times New Roman" w:cs="Times New Roman"/>
          <w:color w:val="000000"/>
          <w:sz w:val="24"/>
          <w:szCs w:val="24"/>
        </w:rPr>
        <w:t> Трудового кодекса РФ, </w:t>
      </w:r>
      <w:r>
        <w:rPr>
          <w:rFonts w:hAnsi="Times New Roman" w:cs="Times New Roman"/>
          <w:color w:val="000000"/>
          <w:sz w:val="24"/>
          <w:szCs w:val="24"/>
        </w:rPr>
        <w:t>приказа Минздрава России от 28.01.2021 № 29н</w:t>
      </w: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1.2. Целью предварительных медосмотров при поступлении на работу является определение соответствия состояния здоровья работников поручаемой им работе.</w:t>
      </w:r>
    </w:p>
    <w:p>
      <w:pPr>
        <w:spacing w:line="240" w:lineRule="auto"/>
        <w:rPr>
          <w:rFonts w:hAnsi="Times New Roman" w:cs="Times New Roman"/>
          <w:color w:val="000000"/>
          <w:sz w:val="24"/>
          <w:szCs w:val="24"/>
        </w:rPr>
      </w:pPr>
      <w:r>
        <w:rPr>
          <w:rFonts w:hAnsi="Times New Roman" w:cs="Times New Roman"/>
          <w:color w:val="000000"/>
          <w:sz w:val="24"/>
          <w:szCs w:val="24"/>
        </w:rPr>
        <w:t>Целью периодических медосмотров является динамическое наблюдение за состоянием здоровья работников в условиях воздействия профессиональных вредностей, профилактика и своевременное установление начальных признаков профессиональных заболеваний: выявление общих заболеваний, препятствующих продолжению работы с вредными, опасными веществами и производственными факторами, а также предупреждение несчастных случаев.</w:t>
      </w:r>
    </w:p>
    <w:p>
      <w:pPr>
        <w:spacing w:line="240" w:lineRule="auto"/>
        <w:rPr>
          <w:rFonts w:hAnsi="Times New Roman" w:cs="Times New Roman"/>
          <w:color w:val="000000"/>
          <w:sz w:val="24"/>
          <w:szCs w:val="24"/>
        </w:rPr>
      </w:pPr>
      <w:r>
        <w:rPr>
          <w:rFonts w:hAnsi="Times New Roman" w:cs="Times New Roman"/>
          <w:color w:val="000000"/>
          <w:sz w:val="24"/>
          <w:szCs w:val="24"/>
        </w:rPr>
        <w:t>Внеочередные медицинские осмотры (обследования) проводятся на основании медицинских рекомендаций, указанных в заключительном акте  и/или после нетрудоспособности работника.</w:t>
      </w:r>
    </w:p>
    <w:p>
      <w:pPr>
        <w:spacing w:line="240" w:lineRule="auto"/>
        <w:rPr>
          <w:rFonts w:hAnsi="Times New Roman" w:cs="Times New Roman"/>
          <w:color w:val="000000"/>
          <w:sz w:val="24"/>
          <w:szCs w:val="24"/>
        </w:rPr>
      </w:pPr>
      <w:r>
        <w:rPr>
          <w:rFonts w:hAnsi="Times New Roman" w:cs="Times New Roman"/>
          <w:color w:val="000000"/>
          <w:sz w:val="24"/>
          <w:szCs w:val="24"/>
        </w:rPr>
        <w:t>Перед проведением медосмотра соискателя (при приеме на работу) вначале направляют на психиатрическое освидетельствование (</w:t>
      </w:r>
      <w:r>
        <w:rPr>
          <w:rFonts w:hAnsi="Times New Roman" w:cs="Times New Roman"/>
          <w:color w:val="000000"/>
          <w:sz w:val="24"/>
          <w:szCs w:val="24"/>
        </w:rPr>
        <w:t>ч. 8 ст. 220 ТК</w:t>
      </w:r>
      <w:r>
        <w:rPr>
          <w:rFonts w:hAnsi="Times New Roman" w:cs="Times New Roman"/>
          <w:color w:val="000000"/>
          <w:sz w:val="24"/>
          <w:szCs w:val="24"/>
        </w:rPr>
        <w:t>, </w:t>
      </w:r>
      <w:r>
        <w:rPr>
          <w:rFonts w:hAnsi="Times New Roman" w:cs="Times New Roman"/>
          <w:color w:val="000000"/>
          <w:sz w:val="24"/>
          <w:szCs w:val="24"/>
        </w:rPr>
        <w:t>приказ Минздрава от 20.05.2022 № 342н</w:t>
      </w:r>
      <w:r>
        <w:rPr>
          <w:rFonts w:hAnsi="Times New Roman" w:cs="Times New Roman"/>
          <w:color w:val="000000"/>
          <w:sz w:val="24"/>
          <w:szCs w:val="24"/>
        </w:rPr>
        <w:t>, </w:t>
      </w:r>
      <w:r>
        <w:rPr>
          <w:rFonts w:hAnsi="Times New Roman" w:cs="Times New Roman"/>
          <w:color w:val="000000"/>
          <w:sz w:val="24"/>
          <w:szCs w:val="24"/>
        </w:rPr>
        <w:t>ст. 6 Закона от 02.07.1992 № 3185-1</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Только после получения положительного решения врачебной комиссии по психиатрическому освидетельствованию работник направляется на медосмотр.</w:t>
      </w:r>
    </w:p>
    <w:p>
      <w:pPr>
        <w:spacing w:line="240" w:lineRule="auto"/>
        <w:rPr>
          <w:rFonts w:hAnsi="Times New Roman" w:cs="Times New Roman"/>
          <w:color w:val="000000"/>
          <w:sz w:val="24"/>
          <w:szCs w:val="24"/>
        </w:rPr>
      </w:pPr>
      <w:r>
        <w:rPr>
          <w:rFonts w:hAnsi="Times New Roman" w:cs="Times New Roman"/>
          <w:color w:val="000000"/>
          <w:sz w:val="24"/>
          <w:szCs w:val="24"/>
        </w:rPr>
        <w:t>1.3. Предварительные и периодические медосмотры работников проводятся лечебно-профилактическими учреждениями (организациями)</w:t>
      </w:r>
    </w:p>
    <w:p>
      <w:pPr>
        <w:spacing w:line="240" w:lineRule="auto"/>
        <w:jc w:val="center"/>
        <w:rPr>
          <w:rFonts w:hAnsi="Times New Roman" w:cs="Times New Roman"/>
          <w:color w:val="000000"/>
          <w:sz w:val="24"/>
          <w:szCs w:val="24"/>
        </w:rPr>
      </w:pPr>
      <w:r>
        <w:br/>
      </w:r>
      <w:r>
        <w:rPr>
          <w:rFonts w:hAnsi="Times New Roman" w:cs="Times New Roman"/>
          <w:color w:val="000000"/>
          <w:sz w:val="24"/>
          <w:szCs w:val="24"/>
        </w:rPr>
        <w:t>______________________________</w:t>
      </w:r>
    </w:p>
    <w:p>
      <w:pPr>
        <w:spacing w:line="240" w:lineRule="auto"/>
        <w:jc w:val="center"/>
        <w:rPr>
          <w:rFonts w:hAnsi="Times New Roman" w:cs="Times New Roman"/>
          <w:color w:val="000000"/>
          <w:sz w:val="24"/>
          <w:szCs w:val="24"/>
        </w:rPr>
      </w:pPr>
      <w:r>
        <w:rPr>
          <w:rFonts w:hAnsi="Times New Roman" w:cs="Times New Roman"/>
          <w:color w:val="000000"/>
          <w:sz w:val="24"/>
          <w:szCs w:val="24"/>
        </w:rPr>
        <w:t>___________________________________________________________________________________,</w:t>
      </w:r>
      <w:r>
        <w:br/>
      </w:r>
      <w:r>
        <w:rPr>
          <w:rFonts w:hAnsi="Times New Roman" w:cs="Times New Roman"/>
          <w:color w:val="000000"/>
          <w:sz w:val="24"/>
          <w:szCs w:val="24"/>
        </w:rPr>
        <w:t> (наименование медицинской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имеющими соответствующую лицензию и сертификат.</w:t>
      </w:r>
    </w:p>
    <w:p>
      <w:pPr>
        <w:spacing w:line="240" w:lineRule="auto"/>
        <w:rPr>
          <w:rFonts w:hAnsi="Times New Roman" w:cs="Times New Roman"/>
          <w:color w:val="000000"/>
          <w:sz w:val="24"/>
          <w:szCs w:val="24"/>
        </w:rPr>
      </w:pPr>
      <w:r>
        <w:rPr>
          <w:rFonts w:hAnsi="Times New Roman" w:cs="Times New Roman"/>
          <w:color w:val="000000"/>
          <w:sz w:val="24"/>
          <w:szCs w:val="24"/>
        </w:rPr>
        <w:t>1.4. Организацию проведения предварительных и периодических медосмотров работников осуществляет работодатель</w:t>
      </w:r>
    </w:p>
    <w:p>
      <w:pPr>
        <w:spacing w:line="240" w:lineRule="auto"/>
        <w:jc w:val="center"/>
        <w:rPr>
          <w:rFonts w:hAnsi="Times New Roman" w:cs="Times New Roman"/>
          <w:color w:val="000000"/>
          <w:sz w:val="24"/>
          <w:szCs w:val="24"/>
        </w:rPr>
      </w:pPr>
      <w:r>
        <w:rPr>
          <w:rFonts w:hAnsi="Times New Roman" w:cs="Times New Roman"/>
          <w:color w:val="000000"/>
          <w:sz w:val="24"/>
          <w:szCs w:val="24"/>
        </w:rPr>
        <w:t>___________</w:t>
      </w:r>
    </w:p>
    <w:tbl>
      <w:tblPr>
        <w:tblW w:w="0" w:type="auto"/>
        <w:tblCellMar>
          <w:top w:w="15" w:type="dxa"/>
          <w:left w:w="15" w:type="dxa"/>
          <w:bottom w:w="15" w:type="dxa"/>
          <w:right w:w="15" w:type="dxa"/>
        </w:tblCellMar>
        <w:tblLook w:val="0600"/>
      </w:tblPr>
      <w:tblGrid>
        <w:gridCol w:w="1440"/>
      </w:tblGrid>
      <w:tr>
        <w:trPr>
          <w:trHeight w:val="0"/>
        </w:trPr>
        <w:tc>
          <w:tcPr>
            <w:tcW w:w="0" w:type="auto"/>
            <w:tcMar>
              <w:top w:w="75" w:type="dxa"/>
              <w:left w:w="75" w:type="dxa"/>
              <w:bottom w:w="75" w:type="dxa"/>
              <w:right w:w="75" w:type="dxa"/>
            </w:tcMar>
            <w:vAlign w:val="top"/>
          </w:tcPr>
          <w:p>
            <w:pPr>
              <w:spacing w:line="240" w:lineRule="auto"/>
              <w:jc w:val="center"/>
              <w:rPr>
                <w:rFonts w:hAnsi="Times New Roman" w:cs="Times New Roman"/>
                <w:color w:val="000000"/>
                <w:sz w:val="24"/>
                <w:szCs w:val="24"/>
              </w:rPr>
            </w:pPr>
            <w:r>
              <w:rPr>
                <w:rFonts w:hAnsi="Times New Roman" w:cs="Times New Roman"/>
                <w:color w:val="000000"/>
                <w:sz w:val="24"/>
                <w:szCs w:val="24"/>
              </w:rPr>
              <w:t>(наименование организации)</w:t>
            </w:r>
          </w:p>
        </w:tc>
      </w:tr>
    </w:tbl>
    <w:p>
      <w:pPr>
        <w:spacing w:line="240" w:lineRule="auto"/>
        <w:rPr>
          <w:rFonts w:hAnsi="Times New Roman" w:cs="Times New Roman"/>
          <w:color w:val="000000"/>
          <w:sz w:val="24"/>
          <w:szCs w:val="24"/>
        </w:rPr>
      </w:pPr>
      <w:r>
        <w:rPr>
          <w:rFonts w:hAnsi="Times New Roman" w:cs="Times New Roman"/>
          <w:color w:val="000000"/>
          <w:sz w:val="24"/>
          <w:szCs w:val="24"/>
        </w:rPr>
        <w:t>1.5. Оплата периодических медосмотров работников осуществляется за счет средств работодателя.</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b/>
          <w:bCs/>
          <w:color w:val="000000"/>
          <w:sz w:val="24"/>
          <w:szCs w:val="24"/>
        </w:rPr>
        <w:t>2. Порядок проведения периодических осмотров</w:t>
      </w:r>
    </w:p>
    <w:p>
      <w:pPr>
        <w:spacing w:line="240" w:lineRule="auto"/>
        <w:rPr>
          <w:rFonts w:hAnsi="Times New Roman" w:cs="Times New Roman"/>
          <w:color w:val="000000"/>
          <w:sz w:val="24"/>
          <w:szCs w:val="24"/>
        </w:rPr>
      </w:pPr>
      <w:r>
        <w:rPr>
          <w:rFonts w:hAnsi="Times New Roman" w:cs="Times New Roman"/>
          <w:color w:val="000000"/>
          <w:sz w:val="24"/>
          <w:szCs w:val="24"/>
        </w:rPr>
        <w:t>2.1. Частота проведения периодических осмотров определяется типами вредных и (или) опасных производственных факторов, воздействующих на работника, или видами выполняемых работ.</w:t>
      </w:r>
    </w:p>
    <w:p>
      <w:pPr>
        <w:spacing w:line="240" w:lineRule="auto"/>
        <w:rPr>
          <w:rFonts w:hAnsi="Times New Roman" w:cs="Times New Roman"/>
          <w:color w:val="000000"/>
          <w:sz w:val="24"/>
          <w:szCs w:val="24"/>
        </w:rPr>
      </w:pPr>
      <w:r>
        <w:rPr>
          <w:rFonts w:hAnsi="Times New Roman" w:cs="Times New Roman"/>
          <w:color w:val="000000"/>
          <w:sz w:val="24"/>
          <w:szCs w:val="24"/>
        </w:rPr>
        <w:t>2.2. Периодические осмотры проводятся не реже чем в сроки, указанные в перечне вредных и (или) опасных производственных факторов, при наличии которых проводятся обязательные предварительные и периодические медицинские осмотры (обследования), утвержденном </w:t>
      </w:r>
      <w:r>
        <w:rPr>
          <w:rFonts w:hAnsi="Times New Roman" w:cs="Times New Roman"/>
          <w:color w:val="000000"/>
          <w:sz w:val="24"/>
          <w:szCs w:val="24"/>
        </w:rPr>
        <w:t>приказом Минздрава России от 28.01.2021 № 29н</w:t>
      </w:r>
      <w:r>
        <w:rPr>
          <w:rFonts w:hAnsi="Times New Roman" w:cs="Times New Roman"/>
          <w:color w:val="000000"/>
          <w:sz w:val="24"/>
          <w:szCs w:val="24"/>
        </w:rPr>
        <w:t xml:space="preserve"> (далее – Перечень факторов), и перечне работ, при выполнении которых проводятся обязательные предварительные и периодические медицинские осмотры (обследования) работников, утвержденном </w:t>
      </w:r>
      <w:r>
        <w:rPr>
          <w:rFonts w:hAnsi="Times New Roman" w:cs="Times New Roman"/>
          <w:color w:val="000000"/>
          <w:sz w:val="24"/>
          <w:szCs w:val="24"/>
        </w:rPr>
        <w:t>приказом Минздрава России от 28.01.2021 № 29н</w:t>
      </w:r>
      <w:r>
        <w:rPr>
          <w:rFonts w:hAnsi="Times New Roman" w:cs="Times New Roman"/>
          <w:color w:val="000000"/>
          <w:sz w:val="24"/>
          <w:szCs w:val="24"/>
        </w:rPr>
        <w:t xml:space="preserve"> (далее – Перечень работ).</w:t>
      </w:r>
    </w:p>
    <w:p>
      <w:pPr>
        <w:spacing w:line="240" w:lineRule="auto"/>
        <w:rPr>
          <w:rFonts w:hAnsi="Times New Roman" w:cs="Times New Roman"/>
          <w:color w:val="000000"/>
          <w:sz w:val="24"/>
          <w:szCs w:val="24"/>
        </w:rPr>
      </w:pPr>
      <w:r>
        <w:rPr>
          <w:rFonts w:hAnsi="Times New Roman" w:cs="Times New Roman"/>
          <w:color w:val="000000"/>
          <w:sz w:val="24"/>
          <w:szCs w:val="24"/>
        </w:rPr>
        <w:t>2.3. Работники в возрасте до 21 года, занятые на работах с вредными и (или) опасными условиями труда, проходят периодические осмотры ежегодно.</w:t>
      </w:r>
    </w:p>
    <w:p>
      <w:pPr>
        <w:spacing w:line="240" w:lineRule="auto"/>
        <w:rPr>
          <w:rFonts w:hAnsi="Times New Roman" w:cs="Times New Roman"/>
          <w:color w:val="000000"/>
          <w:sz w:val="24"/>
          <w:szCs w:val="24"/>
        </w:rPr>
      </w:pPr>
      <w:r>
        <w:rPr>
          <w:rFonts w:hAnsi="Times New Roman" w:cs="Times New Roman"/>
          <w:color w:val="000000"/>
          <w:sz w:val="24"/>
          <w:szCs w:val="24"/>
        </w:rPr>
        <w:t>2.4. Периодические осмотры проводятся в соответствии с поименными списками, разработанными с учетом списка работников, подлежащих периодическим осмотрам, (далее – поименные списки) с указанием вредных (опасных) производственных факторов, а также видом работы.</w:t>
      </w:r>
    </w:p>
    <w:p>
      <w:pPr>
        <w:spacing w:line="240" w:lineRule="auto"/>
        <w:rPr>
          <w:rFonts w:hAnsi="Times New Roman" w:cs="Times New Roman"/>
          <w:color w:val="000000"/>
          <w:sz w:val="24"/>
          <w:szCs w:val="24"/>
        </w:rPr>
      </w:pPr>
      <w:r>
        <w:rPr>
          <w:rFonts w:hAnsi="Times New Roman" w:cs="Times New Roman"/>
          <w:color w:val="000000"/>
          <w:sz w:val="24"/>
          <w:szCs w:val="24"/>
        </w:rPr>
        <w:t>2.5. В списке списке лиц, поступающих на работу, подлежащих предварительным осмотрам, и в списке работников, подлежащих периодическим осмотрам, указываются:</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наименование профессии (должности) работника согласно штатному расписанию;</w:t>
      </w:r>
    </w:p>
    <w:p>
      <w:pPr>
        <w:numPr>
          <w:ilvl w:val="0"/>
          <w:numId w:val="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наименования вредных производственных факторов, работ в соответствии с приложением к Порядку, а также вредных производственных факторов, установленных в результате специальной оценки условий труда.</w:t>
      </w:r>
    </w:p>
    <w:p>
      <w:pPr>
        <w:spacing w:line="240" w:lineRule="auto"/>
        <w:rPr>
          <w:rFonts w:hAnsi="Times New Roman" w:cs="Times New Roman"/>
          <w:color w:val="000000"/>
          <w:sz w:val="24"/>
          <w:szCs w:val="24"/>
        </w:rPr>
      </w:pPr>
      <w:r>
        <w:rPr>
          <w:rFonts w:hAnsi="Times New Roman" w:cs="Times New Roman"/>
          <w:color w:val="000000"/>
          <w:sz w:val="24"/>
          <w:szCs w:val="24"/>
        </w:rPr>
        <w:t>2.6. На основании списка работников, подлежащих периодическим осмотрам, составляется поименный список работников, подлежащих периодическим осмотрам, в котором указываются:</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фамилия, имя, отчество (при наличии) работника;</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профессия (должность) работника, стаж работы в ней;</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наименование структурного подразделения работодателя (при наличии);</w:t>
      </w:r>
    </w:p>
    <w:p>
      <w:pPr>
        <w:numPr>
          <w:ilvl w:val="0"/>
          <w:numId w:val="2"/>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наименование вредных производственных факторов или видов работ.</w:t>
      </w:r>
    </w:p>
    <w:p>
      <w:pPr>
        <w:spacing w:line="240" w:lineRule="auto"/>
        <w:rPr>
          <w:rFonts w:hAnsi="Times New Roman" w:cs="Times New Roman"/>
          <w:color w:val="000000"/>
          <w:sz w:val="24"/>
          <w:szCs w:val="24"/>
        </w:rPr>
      </w:pPr>
      <w:r>
        <w:rPr>
          <w:rFonts w:hAnsi="Times New Roman" w:cs="Times New Roman"/>
          <w:color w:val="000000"/>
          <w:sz w:val="24"/>
          <w:szCs w:val="24"/>
        </w:rPr>
        <w:t>2.7. Поименные списки составляются и утверждаются приказом руководителя (его уполномоченным представителем) и не позднее чем за два месяца до согласованной с медицинской организацией датой начала проведения периодического осмотра направляются работодателем в указанную медицинскую организацию.</w:t>
      </w:r>
    </w:p>
    <w:p>
      <w:pPr>
        <w:spacing w:line="240" w:lineRule="auto"/>
        <w:rPr>
          <w:rFonts w:hAnsi="Times New Roman" w:cs="Times New Roman"/>
          <w:color w:val="000000"/>
          <w:sz w:val="24"/>
          <w:szCs w:val="24"/>
        </w:rPr>
      </w:pPr>
      <w:r>
        <w:rPr>
          <w:rFonts w:hAnsi="Times New Roman" w:cs="Times New Roman"/>
          <w:color w:val="000000"/>
          <w:sz w:val="24"/>
          <w:szCs w:val="24"/>
        </w:rPr>
        <w:t>2.8. Перед проведением периодического осмотра</w:t>
      </w:r>
    </w:p>
    <w:tbl>
      <w:tblPr>
        <w:tblW w:w="0" w:type="auto"/>
        <w:tblCellMar>
          <w:top w:w="15" w:type="dxa"/>
          <w:left w:w="15" w:type="dxa"/>
          <w:bottom w:w="15" w:type="dxa"/>
          <w:right w:w="15" w:type="dxa"/>
        </w:tblCellMar>
        <w:tblLook w:val="0600"/>
      </w:tblPr>
      <w:tblGrid>
        <w:gridCol w:w="1440"/>
      </w:tblGrid>
      <w:tr>
        <w:trPr>
          <w:trHeight w:val="0"/>
        </w:trPr>
        <w:tc>
          <w:tcPr>
            <w:tcW w:w="0" w:type="auto"/>
            <w:tcMar>
              <w:top w:w="75" w:type="dxa"/>
              <w:left w:w="75" w:type="dxa"/>
              <w:bottom w:w="75" w:type="dxa"/>
              <w:right w:w="75" w:type="dxa"/>
            </w:tcMar>
            <w:vAlign w:val="top"/>
          </w:tcPr>
          <w:p>
            <w:r>
              <w:rPr>
                <w:rFonts w:hAnsi="Times New Roman" w:cs="Times New Roman"/>
                <w:color w:val="000000"/>
                <w:sz w:val="24"/>
                <w:szCs w:val="24"/>
              </w:rPr>
              <w:t>____________________</w:t>
            </w:r>
          </w:p>
        </w:tc>
      </w:tr>
      <w:tr>
        <w:trPr>
          <w:trHeight w:val="0"/>
        </w:trPr>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(наименование структурного подразделения организации)</w:t>
            </w:r>
          </w:p>
        </w:tc>
      </w:tr>
    </w:tbl>
    <w:p>
      <w:pPr>
        <w:spacing w:line="240" w:lineRule="auto"/>
        <w:rPr>
          <w:rFonts w:hAnsi="Times New Roman" w:cs="Times New Roman"/>
          <w:color w:val="000000"/>
          <w:sz w:val="24"/>
          <w:szCs w:val="24"/>
        </w:rPr>
      </w:pPr>
      <w:r>
        <w:rPr>
          <w:rFonts w:hAnsi="Times New Roman" w:cs="Times New Roman"/>
          <w:color w:val="000000"/>
          <w:sz w:val="24"/>
          <w:szCs w:val="24"/>
        </w:rPr>
        <w:t>вручает лицу, направляемому на периодический осмотр, направление на периодический медицинский осмотр установленной формы.</w:t>
      </w:r>
    </w:p>
    <w:p>
      <w:pPr>
        <w:spacing w:line="240" w:lineRule="auto"/>
        <w:rPr>
          <w:rFonts w:hAnsi="Times New Roman" w:cs="Times New Roman"/>
          <w:color w:val="000000"/>
          <w:sz w:val="24"/>
          <w:szCs w:val="24"/>
        </w:rPr>
      </w:pPr>
      <w:r>
        <w:rPr>
          <w:rFonts w:hAnsi="Times New Roman" w:cs="Times New Roman"/>
          <w:color w:val="000000"/>
          <w:sz w:val="24"/>
          <w:szCs w:val="24"/>
        </w:rPr>
        <w:t>2.9. Направление заполняется на основании утвержденного работодателем списка лиц и списка работников, и в нем указываются:</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наименование работодателя;</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форма собственности и вид экономической деятельности работодателя по ОКВЭД;</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наименование медицинской организации, фактический адрес ее местонахождения и код по ОГРН;</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вид медицинского осмотра (предварительный или периодический);</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фамилия, имя, отчество лица, поступающего на работу (работника);</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дата рождения лица, поступающего на работу (работника);</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наименование структурного подразделения работодателя (при наличии), в котором будет занято лицо, поступающее на работу (занят работник);</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наименование должности (профессии) или вида работы;</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вредные и (или) опасные производственные факторы, а также вид работы в соответствии с утвержденным работодателем списком работников, подлежащих предварительным (периодическим) осмотрам;</w:t>
      </w:r>
    </w:p>
    <w:p>
      <w:pPr>
        <w:numPr>
          <w:ilvl w:val="0"/>
          <w:numId w:val="3"/>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номер медицинского страхового полиса обязательного и (или) добровольного медицинского страхования.</w:t>
      </w:r>
    </w:p>
    <w:p>
      <w:pPr>
        <w:spacing w:line="240" w:lineRule="auto"/>
        <w:rPr>
          <w:rFonts w:hAnsi="Times New Roman" w:cs="Times New Roman"/>
          <w:color w:val="000000"/>
          <w:sz w:val="24"/>
          <w:szCs w:val="24"/>
        </w:rPr>
      </w:pPr>
      <w:r>
        <w:rPr>
          <w:rFonts w:hAnsi="Times New Roman" w:cs="Times New Roman"/>
          <w:color w:val="000000"/>
          <w:sz w:val="24"/>
          <w:szCs w:val="24"/>
        </w:rPr>
        <w:t>Направление подписывается уполномоченным представителем работодателя с указанием его должности, фамилии, инициалов.</w:t>
      </w:r>
    </w:p>
    <w:p>
      <w:pPr>
        <w:spacing w:line="240" w:lineRule="auto"/>
        <w:rPr>
          <w:rFonts w:hAnsi="Times New Roman" w:cs="Times New Roman"/>
          <w:color w:val="000000"/>
          <w:sz w:val="24"/>
          <w:szCs w:val="24"/>
        </w:rPr>
      </w:pPr>
      <w:r>
        <w:rPr>
          <w:rFonts w:hAnsi="Times New Roman" w:cs="Times New Roman"/>
          <w:color w:val="000000"/>
          <w:sz w:val="24"/>
          <w:szCs w:val="24"/>
        </w:rPr>
        <w:t>2.10. Работодатель (его уполномоченный представитель) ведет учет выданных направлений. Направление выдается работнику под подпись.</w:t>
      </w:r>
    </w:p>
    <w:p>
      <w:pPr>
        <w:spacing w:line="240" w:lineRule="auto"/>
        <w:rPr>
          <w:rFonts w:hAnsi="Times New Roman" w:cs="Times New Roman"/>
          <w:color w:val="000000"/>
          <w:sz w:val="24"/>
          <w:szCs w:val="24"/>
        </w:rPr>
      </w:pPr>
      <w:r>
        <w:rPr>
          <w:rFonts w:hAnsi="Times New Roman" w:cs="Times New Roman"/>
          <w:color w:val="000000"/>
          <w:sz w:val="24"/>
          <w:szCs w:val="24"/>
        </w:rPr>
        <w:t>2.11. Медицинская организация в 10-дневный срок с момента получения от работодателя поименного списка (но не позднее чем за 14 дней до согласованной с работодателем даты начала проведения периодического осмотра) на основании указанного поименного списка составляет календарный план проведения периодического осмотра (далее – календарный план).</w:t>
      </w:r>
    </w:p>
    <w:p>
      <w:pPr>
        <w:spacing w:line="240" w:lineRule="auto"/>
        <w:rPr>
          <w:rFonts w:hAnsi="Times New Roman" w:cs="Times New Roman"/>
          <w:color w:val="000000"/>
          <w:sz w:val="24"/>
          <w:szCs w:val="24"/>
        </w:rPr>
      </w:pPr>
      <w:r>
        <w:rPr>
          <w:rFonts w:hAnsi="Times New Roman" w:cs="Times New Roman"/>
          <w:color w:val="000000"/>
          <w:sz w:val="24"/>
          <w:szCs w:val="24"/>
        </w:rPr>
        <w:t>Календарный план согласовывается медицинской организацией с работодателем (его представителем) и утверждается руководителем медицинской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2.12. Работодатель не позднее чем за 10 дней до согласованной с медицинской организацией даты начала проведения периодического осмотра знакомит работников, подлежащих периодическому осмотру, с календарным планом.</w:t>
      </w:r>
    </w:p>
    <w:p>
      <w:pPr>
        <w:spacing w:line="240" w:lineRule="auto"/>
        <w:rPr>
          <w:rFonts w:hAnsi="Times New Roman" w:cs="Times New Roman"/>
          <w:color w:val="000000"/>
          <w:sz w:val="24"/>
          <w:szCs w:val="24"/>
        </w:rPr>
      </w:pPr>
      <w:r>
        <w:rPr>
          <w:rFonts w:hAnsi="Times New Roman" w:cs="Times New Roman"/>
          <w:color w:val="000000"/>
          <w:sz w:val="24"/>
          <w:szCs w:val="24"/>
        </w:rPr>
        <w:t>2.13. Для прохождения периодического осмотра работник обязан прибыть в медицинскую организацию в день, установленный календарным планом, и предъявить в медицинской организации следующие документы:</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направление;</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страховое свидетельство обязательного пенсионного страхования, содержащее страховой номер индивидуального лицевого счета или документ, подтверждающий регистрацию в системе индивидуального (персонифицированного) учета в форме электронного документа или на бумажном носителе;</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паспорт (или иной документ, удостоверяющий личность);</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решение врачебной комиссии, проводившей обязательное психиатрическое освидетельствование (в случаях, предусмотренных законодательством Российской Федерации);</w:t>
      </w:r>
    </w:p>
    <w:p>
      <w:pPr>
        <w:numPr>
          <w:ilvl w:val="0"/>
          <w:numId w:val="4"/>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полис обязательного (добровольного) медицинского страхования.</w:t>
      </w:r>
    </w:p>
    <w:p>
      <w:pPr>
        <w:spacing w:line="240" w:lineRule="auto"/>
        <w:rPr>
          <w:rFonts w:hAnsi="Times New Roman" w:cs="Times New Roman"/>
          <w:color w:val="000000"/>
          <w:sz w:val="24"/>
          <w:szCs w:val="24"/>
        </w:rPr>
      </w:pPr>
      <w:r>
        <w:rPr>
          <w:rFonts w:hAnsi="Times New Roman" w:cs="Times New Roman"/>
          <w:color w:val="000000"/>
          <w:sz w:val="24"/>
          <w:szCs w:val="24"/>
        </w:rPr>
        <w:t>2.14. На работника, проходящего периодический осмотр, в медицинской организации оформляются медицинская карта, в которую вносятся заключения врачей-специалистов, результаты лабораторных и иных исследований, заключение по результатам периодического осмотра, ведение которой может осуществляться в форме электронного документа;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2.15. Периодический осмотр является завершенным в случае осмотра работника всеми врачами-специалистами, а также выполнения полного объема лабораторных и функциональных исследований, предусмотренных в </w:t>
      </w:r>
      <w:r>
        <w:rPr>
          <w:rFonts w:hAnsi="Times New Roman" w:cs="Times New Roman"/>
          <w:color w:val="000000"/>
          <w:sz w:val="24"/>
          <w:szCs w:val="24"/>
        </w:rPr>
        <w:t>перечне факторов</w:t>
      </w:r>
      <w:r>
        <w:rPr>
          <w:rFonts w:hAnsi="Times New Roman" w:cs="Times New Roman"/>
          <w:color w:val="000000"/>
          <w:sz w:val="24"/>
          <w:szCs w:val="24"/>
        </w:rPr>
        <w:t xml:space="preserve"> или </w:t>
      </w:r>
      <w:r>
        <w:rPr>
          <w:rFonts w:hAnsi="Times New Roman" w:cs="Times New Roman"/>
          <w:color w:val="000000"/>
          <w:sz w:val="24"/>
          <w:szCs w:val="24"/>
        </w:rPr>
        <w:t>перечне работ</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2.16. На основании результатов периодического осмотра работнику даются рекомендации по профилактике заболеваний, в том числе профессиональных заболеваний, а при наличии медицинских показаний - по дальнейшему наблюдению, лечению и медицинской реабилитации, которые оформляются в медицинской карте в медицинской организации, в которой проводился медицинский осмотр. Результаты медицинского осмотра могут использоваться работодателем при установлении принадлежности работника к одной из групп риска развития профессиональных заболеваний</w:t>
      </w:r>
    </w:p>
    <w:p>
      <w:pPr>
        <w:spacing w:line="240" w:lineRule="auto"/>
        <w:rPr>
          <w:rFonts w:hAnsi="Times New Roman" w:cs="Times New Roman"/>
          <w:color w:val="000000"/>
          <w:sz w:val="24"/>
          <w:szCs w:val="24"/>
        </w:rPr>
      </w:pPr>
      <w:r>
        <w:rPr>
          <w:rFonts w:hAnsi="Times New Roman" w:cs="Times New Roman"/>
          <w:color w:val="000000"/>
          <w:sz w:val="24"/>
          <w:szCs w:val="24"/>
        </w:rPr>
        <w:t>2.17. Данные о прохождении медосмотров подлежат внесению в личные медицинские книжки.</w:t>
      </w:r>
    </w:p>
    <w:p>
      <w:pPr>
        <w:spacing w:line="240" w:lineRule="auto"/>
        <w:rPr>
          <w:rFonts w:hAnsi="Times New Roman" w:cs="Times New Roman"/>
          <w:color w:val="000000"/>
          <w:sz w:val="24"/>
          <w:szCs w:val="24"/>
        </w:rPr>
      </w:pPr>
      <w:r>
        <w:rPr>
          <w:rFonts w:hAnsi="Times New Roman" w:cs="Times New Roman"/>
          <w:color w:val="000000"/>
          <w:sz w:val="24"/>
          <w:szCs w:val="24"/>
        </w:rPr>
        <w:t>2.18. Работники, занятые на работах с вредными и (или) опасными веществами и производственными факторами при стаже работы 5 лет во вредных (опасных) условиях труда (подклассы 3.1-3.4 класс 4), работники, имеющие (имевшие) заключение о предварительном диагнозе профессионального заболевания, лица со стойкими последствиями несчастных случаев на производстве, а также другие работники в случае принятия соответствующего решения врачебной комиссией не реже одного раза в пять лет проходят периодические осмотры в центрах профпатологии и других медицинских организациях, имеющих право на проведение предварительных и периодических осмотров, на проведение экспертизы профессиональной пригодности и экспертизы связи заболевания с профессией.</w:t>
      </w:r>
    </w:p>
    <w:p>
      <w:pPr>
        <w:spacing w:line="240" w:lineRule="auto"/>
        <w:rPr>
          <w:rFonts w:hAnsi="Times New Roman" w:cs="Times New Roman"/>
          <w:color w:val="000000"/>
          <w:sz w:val="24"/>
          <w:szCs w:val="24"/>
        </w:rPr>
      </w:pPr>
      <w:r>
        <w:rPr>
          <w:rFonts w:hAnsi="Times New Roman" w:cs="Times New Roman"/>
          <w:color w:val="000000"/>
          <w:sz w:val="24"/>
          <w:szCs w:val="24"/>
        </w:rPr>
        <w:t>2.19. В случае выявления врачом-психиатром и (или) наркологом лиц с подозрением на наличие медицинских противопоказаний, соответствующих профилю данных специалистов, к допуску на работы с вредными и (или) опасными производственными факторами, а также к работам, при выполнении которых обязательно проведение предварительных и периодических медосмотров (обследований) работников, указанные лица в случаях, предусмотренных законодательством Российской Федерации, направляются для освидетельствования во врачебной комиссии, уполномоченной на то органом здравоохранения.</w:t>
      </w:r>
    </w:p>
    <w:p>
      <w:pPr>
        <w:spacing w:line="240" w:lineRule="auto"/>
        <w:rPr>
          <w:rFonts w:hAnsi="Times New Roman" w:cs="Times New Roman"/>
          <w:color w:val="000000"/>
          <w:sz w:val="24"/>
          <w:szCs w:val="24"/>
        </w:rPr>
      </w:pPr>
      <w:r>
        <w:rPr>
          <w:rFonts w:hAnsi="Times New Roman" w:cs="Times New Roman"/>
          <w:color w:val="000000"/>
          <w:sz w:val="24"/>
          <w:szCs w:val="24"/>
        </w:rPr>
        <w:t>2.20. В случае подозрения о наличии у работника профессионального заболевания при проведении периодического осмотра медицинская организация выдает работнику направление в центр профпатологии или специализированную медицинскую организацию, имеющую право на проведение экспертизы связи заболевания с профессией, а также оформляет и направляет в установленном порядке извещение об установлении предварительного диагноза профессионального заболевания в территориальный орган федеральных органов исполнительной власти, уполномоченных на осуществление государственного контроля и надзора в сфере обеспечения санитарно-эпидемиологического благополучия.</w:t>
      </w:r>
    </w:p>
    <w:p>
      <w:pPr>
        <w:spacing w:line="240" w:lineRule="auto"/>
        <w:rPr>
          <w:rFonts w:hAnsi="Times New Roman" w:cs="Times New Roman"/>
          <w:color w:val="000000"/>
          <w:sz w:val="24"/>
          <w:szCs w:val="24"/>
        </w:rPr>
      </w:pPr>
      <w:r>
        <w:rPr>
          <w:rFonts w:hAnsi="Times New Roman" w:cs="Times New Roman"/>
          <w:color w:val="000000"/>
          <w:sz w:val="24"/>
          <w:szCs w:val="24"/>
        </w:rPr>
        <w:t>2.21. В случаях затруднения определения профессиональной пригодности работника в связи с имеющимся у него заболеванием и с целью экспертизы профессиональной пригодности медицинская организация направляет работника в центр профпатологии или специализированную медицинскую организацию, имеющую право на проведение экспертизы связи заболевания с профессией и профессиональной пригодности, в соответствии с действующим законодательством Российской Федерации.</w:t>
      </w:r>
    </w:p>
    <w:p>
      <w:pPr>
        <w:spacing w:line="240" w:lineRule="auto"/>
        <w:rPr>
          <w:rFonts w:hAnsi="Times New Roman" w:cs="Times New Roman"/>
          <w:color w:val="000000"/>
          <w:sz w:val="24"/>
          <w:szCs w:val="24"/>
        </w:rPr>
      </w:pPr>
      <w:r>
        <w:rPr>
          <w:rFonts w:hAnsi="Times New Roman" w:cs="Times New Roman"/>
          <w:color w:val="000000"/>
          <w:sz w:val="24"/>
          <w:szCs w:val="24"/>
        </w:rPr>
        <w:t>2.22. По итогам проведения осмотров медицинская организация не позднее чем через 30 дней после завершения периодического медицинского осмотра обобщает результаты проведенных периодических осмотров, составляет заключительный акт установленной формы. Заключительный акт утверждается председателем врачебной комиссии и заверяется печатью медицинской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Заключительный акт составляется в пяти экземплярах, которые направляются медицинской организацией в течение пяти рабочих дней с даты утверждения акта работодателю, в центр профпатологии субъекта РФ, территориальный орган федерального органа исполнительной власти, уполномоченного на осуществление государственного контроля и надзора в сфере обеспечения санитарно-эпидемиологического благополучия населения.</w:t>
      </w:r>
    </w:p>
    <w:p>
      <w:pPr>
        <w:spacing w:line="240" w:lineRule="auto"/>
        <w:rPr>
          <w:rFonts w:hAnsi="Times New Roman" w:cs="Times New Roman"/>
          <w:color w:val="000000"/>
          <w:sz w:val="24"/>
          <w:szCs w:val="24"/>
        </w:rPr>
      </w:pPr>
      <w:r>
        <w:br/>
      </w:r>
      <w:r>
        <w:rPr>
          <w:rFonts w:hAnsi="Times New Roman" w:cs="Times New Roman"/>
          <w:color w:val="000000"/>
          <w:sz w:val="24"/>
          <w:szCs w:val="24"/>
        </w:rPr>
        <w:t>Один экземпляр заключительного акта хранится в медицинской организации, проводившей периодические осмотры, в течение 50 лет.</w:t>
      </w:r>
    </w:p>
    <w:p>
      <w:pPr>
        <w:spacing w:line="240" w:lineRule="auto"/>
        <w:rPr>
          <w:rFonts w:hAnsi="Times New Roman" w:cs="Times New Roman"/>
          <w:color w:val="000000"/>
          <w:sz w:val="24"/>
          <w:szCs w:val="24"/>
        </w:rPr>
      </w:pPr>
      <w:r>
        <w:rPr>
          <w:rFonts w:hAnsi="Times New Roman" w:cs="Times New Roman"/>
          <w:b/>
          <w:bCs/>
          <w:color w:val="000000"/>
          <w:sz w:val="24"/>
          <w:szCs w:val="24"/>
        </w:rPr>
        <w:t>3. Порядок проведения предварительных осмотров</w:t>
      </w:r>
    </w:p>
    <w:p>
      <w:pPr>
        <w:spacing w:line="240" w:lineRule="auto"/>
        <w:rPr>
          <w:rFonts w:hAnsi="Times New Roman" w:cs="Times New Roman"/>
          <w:color w:val="000000"/>
          <w:sz w:val="24"/>
          <w:szCs w:val="24"/>
        </w:rPr>
      </w:pPr>
      <w:r>
        <w:rPr>
          <w:rFonts w:hAnsi="Times New Roman" w:cs="Times New Roman"/>
          <w:color w:val="000000"/>
          <w:sz w:val="24"/>
          <w:szCs w:val="24"/>
        </w:rPr>
        <w:t>3.1. Предварительные осмотры проводятся при поступлении на работу на основании направления на медосмотр, оформленного в соответствии с пунктом 2.9 настоящего Положения, выданного лицу, поступающему на работу.</w:t>
      </w:r>
    </w:p>
    <w:p>
      <w:pPr>
        <w:spacing w:line="240" w:lineRule="auto"/>
        <w:rPr>
          <w:rFonts w:hAnsi="Times New Roman" w:cs="Times New Roman"/>
          <w:color w:val="000000"/>
          <w:sz w:val="24"/>
          <w:szCs w:val="24"/>
        </w:rPr>
      </w:pPr>
      <w:r>
        <w:rPr>
          <w:rFonts w:hAnsi="Times New Roman" w:cs="Times New Roman"/>
          <w:color w:val="000000"/>
          <w:sz w:val="24"/>
          <w:szCs w:val="24"/>
        </w:rPr>
        <w:t>3.2. Для прохождения предварительного осмотра работник обязан прибыть в медицинскую организацию и предъявить в медицинской организации документы, указанные в пункте 2.13 настоящего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3.3. На работника, проходящего предварительный осмотр, в медицинской организации оформляются документы, установленные пунктом 2.14 настоящего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3.4. Предварительный осмотр является завершенным в случае осмотра лица, поступающего на работу, всеми врачами-специалистами, а также выполнения полного объема лабораторных и функциональных исследований, предусмотренных перечнем вредных и (или) опасных производственных факторов, при наличии которых проводятся обязательные предварительные и периодические медицинские осмотры (обследования), и </w:t>
      </w:r>
      <w:r>
        <w:rPr>
          <w:rFonts w:hAnsi="Times New Roman" w:cs="Times New Roman"/>
          <w:color w:val="000000"/>
          <w:sz w:val="24"/>
          <w:szCs w:val="24"/>
        </w:rPr>
        <w:t>перечнем работ</w:t>
      </w:r>
      <w:r>
        <w:rPr>
          <w:rFonts w:hAnsi="Times New Roman" w:cs="Times New Roman"/>
          <w:color w:val="000000"/>
          <w:sz w:val="24"/>
          <w:szCs w:val="24"/>
        </w:rPr>
        <w:t>, при выполнении которых проводятся обязательные предварительные и периодические медицинские осмотры (обследования)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3.5. По окончании прохождения лицом, поступающим на работу, предварительного осмотра медицинской организацией оформляется заключение установленной формы. Заключение составляется в трех экземплярах, один экземпляр которого не позднее 5 рабочих дней выдается лицу, поступающему на работу, второй экземпляр Заключения приобщается к медицинской карте, оформляемой в медицинской организации, в которой проводился предварительный осмотр, третий - направляется работодателю.</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b/>
          <w:bCs/>
          <w:color w:val="000000"/>
          <w:sz w:val="24"/>
          <w:szCs w:val="24"/>
        </w:rPr>
        <w:t>4. Порядок отстранения работников при выявлении медицинских противопоказаний</w:t>
      </w:r>
    </w:p>
    <w:p>
      <w:pPr>
        <w:spacing w:line="240" w:lineRule="auto"/>
        <w:rPr>
          <w:rFonts w:hAnsi="Times New Roman" w:cs="Times New Roman"/>
          <w:color w:val="000000"/>
          <w:sz w:val="24"/>
          <w:szCs w:val="24"/>
        </w:rPr>
      </w:pPr>
      <w:r>
        <w:rPr>
          <w:rFonts w:hAnsi="Times New Roman" w:cs="Times New Roman"/>
          <w:color w:val="000000"/>
          <w:sz w:val="24"/>
          <w:szCs w:val="24"/>
        </w:rPr>
        <w:t>4.1. При получении медицинского заключения с указанными противопоказаниями к труду работодатель обязан отстранить работника от выполнения трудовых обязанностей.</w:t>
      </w:r>
    </w:p>
    <w:p>
      <w:pPr>
        <w:spacing w:line="240" w:lineRule="auto"/>
        <w:rPr>
          <w:rFonts w:hAnsi="Times New Roman" w:cs="Times New Roman"/>
          <w:color w:val="000000"/>
          <w:sz w:val="24"/>
          <w:szCs w:val="24"/>
        </w:rPr>
      </w:pPr>
      <w:r>
        <w:rPr>
          <w:rFonts w:hAnsi="Times New Roman" w:cs="Times New Roman"/>
          <w:color w:val="000000"/>
          <w:sz w:val="24"/>
          <w:szCs w:val="24"/>
        </w:rPr>
        <w:t>4.2. Работник, не прошедший обязательный предварительный или периодический медосмотр, отстраняется от работы (не допускается к работе) до тех пор, пока такой осмотр не будет пройден. Если работник уклоняется от прохождения медосмотра, работодатель может привлечь его к дисциплинарной ответственности (</w:t>
      </w:r>
      <w:r>
        <w:rPr>
          <w:rFonts w:hAnsi="Times New Roman" w:cs="Times New Roman"/>
          <w:color w:val="000000"/>
          <w:sz w:val="24"/>
          <w:szCs w:val="24"/>
        </w:rPr>
        <w:t>ст. 76</w:t>
      </w:r>
      <w:r>
        <w:rPr>
          <w:rFonts w:hAnsi="Times New Roman" w:cs="Times New Roman"/>
          <w:color w:val="000000"/>
          <w:sz w:val="24"/>
          <w:szCs w:val="24"/>
        </w:rPr>
        <w:t xml:space="preserve"> ТК РФ, </w:t>
      </w:r>
      <w:r>
        <w:rPr>
          <w:rFonts w:hAnsi="Times New Roman" w:cs="Times New Roman"/>
          <w:color w:val="000000"/>
          <w:sz w:val="24"/>
          <w:szCs w:val="24"/>
        </w:rPr>
        <w:t>подп. «в»</w:t>
      </w:r>
      <w:r>
        <w:rPr>
          <w:rFonts w:hAnsi="Times New Roman" w:cs="Times New Roman"/>
          <w:color w:val="000000"/>
          <w:sz w:val="24"/>
          <w:szCs w:val="24"/>
        </w:rPr>
        <w:t xml:space="preserve"> п. 35 постановления Пленума Верховного суда РФ от 17 марта 2004 г. № 2). Основанием для издания приказа об отстранении в данном случае должен быть документ, подтверждающий факт непрохождения медосмотра.</w:t>
      </w:r>
    </w:p>
    <w:p>
      <w:pPr>
        <w:spacing w:line="240" w:lineRule="auto"/>
        <w:rPr>
          <w:rFonts w:hAnsi="Times New Roman" w:cs="Times New Roman"/>
          <w:color w:val="000000"/>
          <w:sz w:val="24"/>
          <w:szCs w:val="24"/>
        </w:rPr>
      </w:pPr>
      <w:r>
        <w:rPr>
          <w:rFonts w:hAnsi="Times New Roman" w:cs="Times New Roman"/>
          <w:color w:val="000000"/>
          <w:sz w:val="24"/>
          <w:szCs w:val="24"/>
        </w:rPr>
        <w:t>4.3. Издав приказ (распоряжение) о направлении на медосмотр, работодатель имеет возможность контролировать его исполнение работником (работниками). Если по истечении установленного срока работодатель по вине работника так и не получит заключительный акт по итогам медосмотра, то он обязан отстранить работника от работы и вправе применить к нему дисциплинарное взыскание.</w:t>
      </w:r>
    </w:p>
    <w:p>
      <w:pPr>
        <w:spacing w:line="240" w:lineRule="auto"/>
        <w:rPr>
          <w:rFonts w:hAnsi="Times New Roman" w:cs="Times New Roman"/>
          <w:color w:val="000000"/>
          <w:sz w:val="24"/>
          <w:szCs w:val="24"/>
        </w:rPr>
      </w:pPr>
      <w:r>
        <w:rPr>
          <w:rFonts w:hAnsi="Times New Roman" w:cs="Times New Roman"/>
          <w:color w:val="000000"/>
          <w:sz w:val="24"/>
          <w:szCs w:val="24"/>
        </w:rPr>
        <w:t>4.4. По общему правилу решение работодателя об отстранении работника от работы оформляется приказом руководителя организации и принимается к учету бухгалтерией, поскольку приостанавливается выплата зарплаты (</w:t>
      </w:r>
      <w:r>
        <w:rPr>
          <w:rFonts w:hAnsi="Times New Roman" w:cs="Times New Roman"/>
          <w:color w:val="000000"/>
          <w:sz w:val="24"/>
          <w:szCs w:val="24"/>
        </w:rPr>
        <w:t>ч. 3 ст. 76 ТК</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4.5. Если в соответствии с медицинским заключением работник нуждается в переводе на легкий труд на другую работу на срок до четырех месяцев, а соответствующая работа у работодателя отсутствует, то работодатель обязан на весь указанный в медицинском заключении срок отстранить работника от работы с сохранением места работы (должности). В период отстранения от работы зарплата работнику не начисляется.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4.6. Если в соответствии с медицинским заключением работник нуждается во временном переводе на другую работу на срок более четырех месяцев или в постоянном переводе, то при отсутствии у работодателя соответствующей работы трудовой договор прекращается на основании </w:t>
      </w:r>
      <w:r>
        <w:rPr>
          <w:rFonts w:hAnsi="Times New Roman" w:cs="Times New Roman"/>
          <w:color w:val="000000"/>
          <w:sz w:val="24"/>
          <w:szCs w:val="24"/>
        </w:rPr>
        <w:t>пункта 8</w:t>
      </w:r>
      <w:r>
        <w:rPr>
          <w:rFonts w:hAnsi="Times New Roman" w:cs="Times New Roman"/>
          <w:color w:val="000000"/>
          <w:sz w:val="24"/>
          <w:szCs w:val="24"/>
        </w:rPr>
        <w:t> части 1 статьи 77 Трудового кодекса.</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b/>
          <w:bCs/>
          <w:color w:val="000000"/>
          <w:sz w:val="24"/>
          <w:szCs w:val="24"/>
        </w:rPr>
        <w:t>5. Действия при отказе работника от прохождения медосмотра</w:t>
      </w:r>
    </w:p>
    <w:p>
      <w:pPr>
        <w:spacing w:line="240" w:lineRule="auto"/>
        <w:rPr>
          <w:rFonts w:hAnsi="Times New Roman" w:cs="Times New Roman"/>
          <w:color w:val="000000"/>
          <w:sz w:val="24"/>
          <w:szCs w:val="24"/>
        </w:rPr>
      </w:pPr>
      <w:r>
        <w:rPr>
          <w:rFonts w:hAnsi="Times New Roman" w:cs="Times New Roman"/>
          <w:color w:val="000000"/>
          <w:sz w:val="24"/>
          <w:szCs w:val="24"/>
        </w:rPr>
        <w:t>5.1. Работник, не прошедший обязательный предварительный или периодический медосмотр, отстраняется от работы (не допускается к работе) до тех пор, пока такой осмотр не будет пройден.</w:t>
      </w:r>
    </w:p>
    <w:p>
      <w:pPr>
        <w:spacing w:line="240" w:lineRule="auto"/>
        <w:rPr>
          <w:rFonts w:hAnsi="Times New Roman" w:cs="Times New Roman"/>
          <w:color w:val="000000"/>
          <w:sz w:val="24"/>
          <w:szCs w:val="24"/>
        </w:rPr>
      </w:pPr>
      <w:r>
        <w:rPr>
          <w:rFonts w:hAnsi="Times New Roman" w:cs="Times New Roman"/>
          <w:color w:val="000000"/>
          <w:sz w:val="24"/>
          <w:szCs w:val="24"/>
        </w:rPr>
        <w:t>Если работник уклоняется от прохождения медосмотра, работодатель может привлечь его к дисциплинарной ответственности (</w:t>
      </w:r>
      <w:r>
        <w:rPr>
          <w:rFonts w:hAnsi="Times New Roman" w:cs="Times New Roman"/>
          <w:color w:val="000000"/>
          <w:sz w:val="24"/>
          <w:szCs w:val="24"/>
        </w:rPr>
        <w:t>ст. 76</w:t>
      </w:r>
      <w:r>
        <w:rPr>
          <w:rFonts w:hAnsi="Times New Roman" w:cs="Times New Roman"/>
          <w:color w:val="000000"/>
          <w:sz w:val="24"/>
          <w:szCs w:val="24"/>
        </w:rPr>
        <w:t xml:space="preserve"> ТК РФ, </w:t>
      </w:r>
      <w:r>
        <w:rPr>
          <w:rFonts w:hAnsi="Times New Roman" w:cs="Times New Roman"/>
          <w:color w:val="000000"/>
          <w:sz w:val="24"/>
          <w:szCs w:val="24"/>
        </w:rPr>
        <w:t>подп. «в»</w:t>
      </w:r>
      <w:r>
        <w:rPr>
          <w:rFonts w:hAnsi="Times New Roman" w:cs="Times New Roman"/>
          <w:color w:val="000000"/>
          <w:sz w:val="24"/>
          <w:szCs w:val="24"/>
        </w:rPr>
        <w:t xml:space="preserve"> п. 35 постановления Пленума Верховного суда РФ от 17.03.2004 № 2). Основанием для издания приказа об отстранении в данном случае должен быть документ, подтверждающий факт непрохождения медосмотра.</w:t>
      </w:r>
    </w:p>
    <w:p>
      <w:pPr>
        <w:spacing w:line="240" w:lineRule="auto"/>
        <w:rPr>
          <w:rFonts w:hAnsi="Times New Roman" w:cs="Times New Roman"/>
          <w:color w:val="000000"/>
          <w:sz w:val="24"/>
          <w:szCs w:val="24"/>
        </w:rPr>
      </w:pPr>
      <w:r>
        <w:rPr>
          <w:rFonts w:hAnsi="Times New Roman" w:cs="Times New Roman"/>
          <w:color w:val="000000"/>
          <w:sz w:val="24"/>
          <w:szCs w:val="24"/>
        </w:rPr>
        <w:t>5.2. При обнаружении оснований, достаточных для отстранения работника от работы, необходимо этот факт зафиксировать документально.</w:t>
      </w:r>
    </w:p>
    <w:p>
      <w:pPr>
        <w:spacing w:line="240" w:lineRule="auto"/>
        <w:rPr>
          <w:rFonts w:hAnsi="Times New Roman" w:cs="Times New Roman"/>
          <w:color w:val="000000"/>
          <w:sz w:val="24"/>
          <w:szCs w:val="24"/>
        </w:rPr>
      </w:pPr>
      <w:r>
        <w:rPr>
          <w:rFonts w:hAnsi="Times New Roman" w:cs="Times New Roman"/>
          <w:color w:val="000000"/>
          <w:sz w:val="24"/>
          <w:szCs w:val="24"/>
        </w:rPr>
        <w:t>Таким документом может являться:</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объяснительная записка сотрудника о непрохождении осмотра;</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письменный отказ сотрудника от прохождения осмотра;</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листок нетрудоспособности, выданный в период проведения осмотра;</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документально оформленная информация из медицинского учреждения о неявке</w:t>
      </w:r>
      <w:r>
        <w:br/>
      </w:r>
      <w:r>
        <w:rPr>
          <w:rFonts w:hAnsi="Times New Roman" w:cs="Times New Roman"/>
          <w:color w:val="000000"/>
          <w:sz w:val="24"/>
          <w:szCs w:val="24"/>
        </w:rPr>
        <w:t>работника;</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акт об уклонении сотрудника от прохождения медосмотра, составленного работодателем;</w:t>
      </w:r>
    </w:p>
    <w:p>
      <w:pPr>
        <w:numPr>
          <w:ilvl w:val="0"/>
          <w:numId w:val="5"/>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докладная записка непосредственного руководителя.</w:t>
      </w:r>
    </w:p>
    <w:p>
      <w:pPr>
        <w:spacing w:line="240" w:lineRule="auto"/>
        <w:rPr>
          <w:rFonts w:hAnsi="Times New Roman" w:cs="Times New Roman"/>
          <w:color w:val="000000"/>
          <w:sz w:val="24"/>
          <w:szCs w:val="24"/>
        </w:rPr>
      </w:pPr>
      <w:r>
        <w:rPr>
          <w:rFonts w:hAnsi="Times New Roman" w:cs="Times New Roman"/>
          <w:color w:val="000000"/>
          <w:sz w:val="24"/>
          <w:szCs w:val="24"/>
        </w:rPr>
        <w:t>5.3. Далее на основании подтверждающих документов издается приказ об отстранении работника от работы. Унифицированного бланка такого приказа не предусмотрено, поэтому он составляется в произвольной форме.</w:t>
      </w:r>
    </w:p>
    <w:p>
      <w:pPr>
        <w:spacing w:line="240" w:lineRule="auto"/>
        <w:rPr>
          <w:rFonts w:hAnsi="Times New Roman" w:cs="Times New Roman"/>
          <w:color w:val="000000"/>
          <w:sz w:val="24"/>
          <w:szCs w:val="24"/>
        </w:rPr>
      </w:pPr>
      <w:r>
        <w:rPr>
          <w:rFonts w:hAnsi="Times New Roman" w:cs="Times New Roman"/>
          <w:color w:val="000000"/>
          <w:sz w:val="24"/>
          <w:szCs w:val="24"/>
        </w:rPr>
        <w:t xml:space="preserve">5.4. В приказе необходимо указать причины отстранения работника от работы и указать срок отстранения. Как правило, указывают формулировку «до устранения обстоятельств, явившихся основанием для отстранения от работы». В то же время если на момент составления приказа есть возможность достоверно определить срок отстранения, то в приказе можно указать конкретную дату. Работодатель отстраняет от работы работника на весь период времени до устранения обстоятельств, явившихся основанием для отстранения от работы или недопущения к работе, если иное не предусмотрено </w:t>
      </w:r>
      <w:r>
        <w:rPr>
          <w:rFonts w:hAnsi="Times New Roman" w:cs="Times New Roman"/>
          <w:color w:val="000000"/>
          <w:sz w:val="24"/>
          <w:szCs w:val="24"/>
        </w:rPr>
        <w:t>Трудовым кодексом</w:t>
      </w:r>
      <w:r>
        <w:rPr>
          <w:rFonts w:hAnsi="Times New Roman" w:cs="Times New Roman"/>
          <w:color w:val="000000"/>
          <w:sz w:val="24"/>
          <w:szCs w:val="24"/>
        </w:rPr>
        <w:t>, другими федеральными законами (</w:t>
      </w:r>
      <w:r>
        <w:rPr>
          <w:rFonts w:hAnsi="Times New Roman" w:cs="Times New Roman"/>
          <w:color w:val="000000"/>
          <w:sz w:val="24"/>
          <w:szCs w:val="24"/>
        </w:rPr>
        <w:t>ч. 2 ст. 76 ТК</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5.5. Кроме того, в приказе следует отразить порядок оплаты на период отстранения. В общем случае зарплату за время отстранения сотруднику не начисляйте. Исключение составляют случаи отстранения, когда сотрудник не по своей вине не прошел обучение и проверку знаний в области охраны труда либо обязательный медосмотр (обследование).</w:t>
      </w:r>
    </w:p>
    <w:p>
      <w:pPr>
        <w:spacing w:line="240" w:lineRule="auto"/>
        <w:rPr>
          <w:rFonts w:hAnsi="Times New Roman" w:cs="Times New Roman"/>
          <w:color w:val="000000"/>
          <w:sz w:val="24"/>
          <w:szCs w:val="24"/>
        </w:rPr>
      </w:pPr>
      <w:r>
        <w:rPr>
          <w:rFonts w:hAnsi="Times New Roman" w:cs="Times New Roman"/>
          <w:color w:val="000000"/>
          <w:sz w:val="24"/>
          <w:szCs w:val="24"/>
        </w:rPr>
        <w:t>5.6. В приказе также следует оформить строку «Основание», перечислив все документы, подтверждающие законность и обоснованность издания приказа.</w:t>
      </w:r>
    </w:p>
    <w:p>
      <w:pPr>
        <w:spacing w:line="240" w:lineRule="auto"/>
        <w:rPr>
          <w:rFonts w:hAnsi="Times New Roman" w:cs="Times New Roman"/>
          <w:color w:val="000000"/>
          <w:sz w:val="24"/>
          <w:szCs w:val="24"/>
        </w:rPr>
      </w:pPr>
      <w:r>
        <w:rPr>
          <w:rFonts w:hAnsi="Times New Roman" w:cs="Times New Roman"/>
          <w:color w:val="000000"/>
          <w:sz w:val="24"/>
          <w:szCs w:val="24"/>
        </w:rPr>
        <w:t>5.7. С приказом об отстранении от работы необходимо ознакомить работника под подпись. При отказе от подписания приказа составляется соответствующий акт или непосредственно на самом приказе делается соответствующая запись.</w:t>
      </w:r>
    </w:p>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w:abstractNum xmlns:w="http://schemas.openxmlformats.org/wordprocessingml/2006/main" w:abstractNumId="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e6b48ab4aa0f402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